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2481"/>
        <w:gridCol w:w="4464"/>
      </w:tblGrid>
      <w:tr w:rsidR="00D14707" w:rsidRPr="00D14707" w:rsidTr="00D14707">
        <w:trPr>
          <w:trHeight w:val="255"/>
        </w:trPr>
        <w:tc>
          <w:tcPr>
            <w:tcW w:w="2197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4707" w:rsidRPr="00D14707" w:rsidRDefault="00D14707" w:rsidP="00D14707">
            <w:pPr>
              <w:jc w:val="center"/>
              <w:rPr>
                <w:rFonts w:cs="Microsoft Sans Serif"/>
                <w:color w:val="000000"/>
                <w:lang w:eastAsia="cs-CZ"/>
              </w:rPr>
            </w:pPr>
            <w:r w:rsidRPr="00D14707">
              <w:rPr>
                <w:rFonts w:cs="Microsoft Sans Serif"/>
                <w:color w:val="000000"/>
                <w:lang w:eastAsia="cs-CZ"/>
              </w:rPr>
              <w:t>Název 1</w:t>
            </w:r>
          </w:p>
        </w:tc>
        <w:tc>
          <w:tcPr>
            <w:tcW w:w="2481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4707" w:rsidRPr="00D14707" w:rsidRDefault="00D14707" w:rsidP="00D14707">
            <w:pPr>
              <w:jc w:val="center"/>
              <w:rPr>
                <w:rFonts w:cs="Microsoft Sans Serif"/>
                <w:color w:val="000000"/>
                <w:lang w:eastAsia="cs-CZ"/>
              </w:rPr>
            </w:pPr>
            <w:r w:rsidRPr="00D14707">
              <w:rPr>
                <w:rFonts w:cs="Microsoft Sans Serif"/>
                <w:color w:val="000000"/>
                <w:lang w:eastAsia="cs-CZ"/>
              </w:rPr>
              <w:t>Název 2</w:t>
            </w:r>
          </w:p>
        </w:tc>
        <w:tc>
          <w:tcPr>
            <w:tcW w:w="4464" w:type="dxa"/>
            <w:shd w:val="clear" w:color="auto" w:fill="D9D9D9" w:themeFill="background1" w:themeFillShade="D9"/>
            <w:vAlign w:val="center"/>
          </w:tcPr>
          <w:p w:rsidR="00D14707" w:rsidRPr="00D14707" w:rsidRDefault="00D14707" w:rsidP="00D14707">
            <w:pPr>
              <w:jc w:val="center"/>
              <w:rPr>
                <w:rFonts w:cs="Microsoft Sans Serif"/>
                <w:color w:val="000000"/>
                <w:lang w:eastAsia="cs-CZ"/>
              </w:rPr>
            </w:pPr>
            <w:r w:rsidRPr="00D14707">
              <w:t>CPO – VOP číslo</w:t>
            </w:r>
          </w:p>
        </w:tc>
      </w:tr>
      <w:tr w:rsidR="00D14707" w:rsidRPr="00D14707" w:rsidTr="00D14707">
        <w:trPr>
          <w:trHeight w:val="330"/>
        </w:trPr>
        <w:tc>
          <w:tcPr>
            <w:tcW w:w="2197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4707" w:rsidRPr="00D14707" w:rsidRDefault="00D14707" w:rsidP="00D14707">
            <w:pPr>
              <w:jc w:val="center"/>
              <w:rPr>
                <w:rFonts w:cs="Microsoft Sans Serif"/>
                <w:lang w:eastAsia="cs-CZ"/>
              </w:rPr>
            </w:pPr>
            <w:r w:rsidRPr="00D14707">
              <w:rPr>
                <w:rFonts w:cs="Microsoft Sans Serif"/>
                <w:lang w:eastAsia="cs-CZ"/>
              </w:rPr>
              <w:t>/LMS511-20100</w:t>
            </w:r>
          </w:p>
        </w:tc>
        <w:tc>
          <w:tcPr>
            <w:tcW w:w="2481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4707" w:rsidRPr="00D14707" w:rsidRDefault="00D14707" w:rsidP="00D14707">
            <w:pPr>
              <w:jc w:val="center"/>
              <w:rPr>
                <w:rFonts w:cs="Microsoft Sans Serif"/>
                <w:lang w:eastAsia="cs-CZ"/>
              </w:rPr>
            </w:pPr>
            <w:r w:rsidRPr="00D14707">
              <w:rPr>
                <w:rFonts w:cs="Microsoft Sans Serif"/>
                <w:lang w:eastAsia="cs-CZ"/>
              </w:rPr>
              <w:t>SKENER LASEROVY</w:t>
            </w:r>
          </w:p>
        </w:tc>
        <w:tc>
          <w:tcPr>
            <w:tcW w:w="4464" w:type="dxa"/>
            <w:shd w:val="clear" w:color="auto" w:fill="FFFFFF"/>
            <w:vAlign w:val="center"/>
          </w:tcPr>
          <w:p w:rsidR="00D14707" w:rsidRPr="00D14707" w:rsidRDefault="00D14707" w:rsidP="00D14707">
            <w:pPr>
              <w:jc w:val="center"/>
              <w:rPr>
                <w:rFonts w:cs="Microsoft Sans Serif"/>
                <w:lang w:eastAsia="cs-CZ"/>
              </w:rPr>
            </w:pPr>
            <w:r w:rsidRPr="00D14707">
              <w:rPr>
                <w:rFonts w:cs="Microsoft Sans Serif"/>
                <w:lang w:eastAsia="cs-CZ"/>
              </w:rPr>
              <w:t>401000007200</w:t>
            </w:r>
          </w:p>
        </w:tc>
      </w:tr>
    </w:tbl>
    <w:p w:rsidR="00870916" w:rsidRDefault="00870916"/>
    <w:tbl>
      <w:tblPr>
        <w:tblStyle w:val="Mkatabulky"/>
        <w:tblpPr w:leftFromText="141" w:rightFromText="141" w:vertAnchor="text" w:horzAnchor="margin" w:tblpX="216" w:tblpY="57"/>
        <w:tblOverlap w:val="never"/>
        <w:tblW w:w="903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667"/>
        <w:gridCol w:w="2025"/>
        <w:gridCol w:w="1551"/>
        <w:gridCol w:w="2004"/>
        <w:gridCol w:w="1791"/>
      </w:tblGrid>
      <w:tr w:rsidR="00450A74" w:rsidTr="001364FD">
        <w:trPr>
          <w:trHeight w:val="287"/>
        </w:trPr>
        <w:tc>
          <w:tcPr>
            <w:tcW w:w="16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50A74" w:rsidRDefault="00450A74" w:rsidP="00450A74">
            <w:r>
              <w:t>Číslo karty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50A74" w:rsidRDefault="006771D1" w:rsidP="00432358">
            <w:r>
              <w:t>NSCAN</w:t>
            </w:r>
            <w:r w:rsidR="00450A74">
              <w:t>0</w:t>
            </w:r>
            <w:r w:rsidR="00432358">
              <w:t>1</w:t>
            </w:r>
            <w:r w:rsidR="00450A74">
              <w:t>00</w:t>
            </w:r>
            <w:r w:rsidR="00432358">
              <w:t>1</w:t>
            </w:r>
          </w:p>
        </w:tc>
        <w:tc>
          <w:tcPr>
            <w:tcW w:w="1551" w:type="dxa"/>
            <w:shd w:val="clear" w:color="auto" w:fill="FFFFFF" w:themeFill="background1"/>
          </w:tcPr>
          <w:p w:rsidR="00450A74" w:rsidRDefault="00450A74" w:rsidP="00450A74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50A74" w:rsidRDefault="00450A74" w:rsidP="00450A74">
            <w:r>
              <w:t>DATUM ZALOŽENÍ</w:t>
            </w:r>
          </w:p>
        </w:tc>
        <w:tc>
          <w:tcPr>
            <w:tcW w:w="1791" w:type="dxa"/>
            <w:shd w:val="clear" w:color="auto" w:fill="FFFFFF" w:themeFill="background1"/>
          </w:tcPr>
          <w:p w:rsidR="00450A74" w:rsidRDefault="006771D1" w:rsidP="00450A74">
            <w:r>
              <w:t>5.1.2018</w:t>
            </w:r>
          </w:p>
        </w:tc>
      </w:tr>
      <w:tr w:rsidR="00450A74" w:rsidTr="001364FD">
        <w:trPr>
          <w:trHeight w:val="300"/>
        </w:trPr>
        <w:tc>
          <w:tcPr>
            <w:tcW w:w="1667" w:type="dxa"/>
            <w:shd w:val="clear" w:color="auto" w:fill="FFFFFF" w:themeFill="background1"/>
          </w:tcPr>
          <w:p w:rsidR="00450A74" w:rsidRDefault="00450A74" w:rsidP="00450A74"/>
        </w:tc>
        <w:tc>
          <w:tcPr>
            <w:tcW w:w="2025" w:type="dxa"/>
            <w:shd w:val="clear" w:color="auto" w:fill="FFFFFF" w:themeFill="background1"/>
          </w:tcPr>
          <w:p w:rsidR="00450A74" w:rsidRDefault="00450A74" w:rsidP="00450A74"/>
        </w:tc>
        <w:tc>
          <w:tcPr>
            <w:tcW w:w="1551" w:type="dxa"/>
            <w:shd w:val="clear" w:color="auto" w:fill="FFFFFF" w:themeFill="background1"/>
          </w:tcPr>
          <w:p w:rsidR="00450A74" w:rsidRDefault="00450A74" w:rsidP="00450A74"/>
        </w:tc>
        <w:tc>
          <w:tcPr>
            <w:tcW w:w="2004" w:type="dxa"/>
            <w:shd w:val="clear" w:color="auto" w:fill="D9D9D9" w:themeFill="background1" w:themeFillShade="D9"/>
          </w:tcPr>
          <w:p w:rsidR="00450A74" w:rsidRDefault="00450A74" w:rsidP="00450A74">
            <w:r>
              <w:t>ZALOŽIL</w:t>
            </w:r>
          </w:p>
        </w:tc>
        <w:tc>
          <w:tcPr>
            <w:tcW w:w="1791" w:type="dxa"/>
            <w:shd w:val="clear" w:color="auto" w:fill="FFFFFF" w:themeFill="background1"/>
          </w:tcPr>
          <w:p w:rsidR="00450A74" w:rsidRDefault="006771D1" w:rsidP="00450A74">
            <w:r>
              <w:t>Hruška</w:t>
            </w:r>
          </w:p>
        </w:tc>
      </w:tr>
    </w:tbl>
    <w:p w:rsidR="006858D1" w:rsidRDefault="006858D1"/>
    <w:p w:rsidR="00CC160B" w:rsidRDefault="00CC160B" w:rsidP="00D90D1A">
      <w:pPr>
        <w:jc w:val="center"/>
      </w:pPr>
      <w:r w:rsidRPr="00CC160B">
        <w:rPr>
          <w:noProof/>
          <w:lang w:eastAsia="cs-CZ"/>
        </w:rPr>
        <w:drawing>
          <wp:inline distT="0" distB="0" distL="0" distR="0">
            <wp:extent cx="2771775" cy="310515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8C5" w:rsidRDefault="005F58C5">
      <w:r>
        <w:t>Požadavek:</w:t>
      </w:r>
    </w:p>
    <w:p w:rsidR="00E95EC7" w:rsidRDefault="005F58C5" w:rsidP="00E95EC7">
      <w:pPr>
        <w:spacing w:after="0"/>
      </w:pPr>
      <w:r>
        <w:t>Rozlišování pohybujících se předmětů s datovým výstupem.</w:t>
      </w:r>
    </w:p>
    <w:p w:rsidR="00E95EC7" w:rsidRPr="005E33A5" w:rsidRDefault="002A7BD9" w:rsidP="005E33A5">
      <w:pPr>
        <w:spacing w:after="0" w:line="240" w:lineRule="auto"/>
      </w:pPr>
      <w:r w:rsidRPr="005E33A5">
        <w:t>Skener musí být schopen posílat jak data o profilu, tak detekovat stav definovatelných polí.</w:t>
      </w:r>
    </w:p>
    <w:p w:rsidR="00E95EC7" w:rsidRPr="005E33A5" w:rsidRDefault="002A7BD9" w:rsidP="005E33A5">
      <w:pPr>
        <w:spacing w:after="0" w:line="240" w:lineRule="auto"/>
      </w:pPr>
      <w:r w:rsidRPr="005E33A5">
        <w:t>Odolnost proti vlivům venkovního prostředí (mlha, déšť, sníh) - schopnost vyhodnotit alespoň tři echa, odolnost proti vibracím a elektromagnetickému rušení.</w:t>
      </w:r>
    </w:p>
    <w:p w:rsidR="005F58C5" w:rsidRDefault="002A7BD9" w:rsidP="005E33A5">
      <w:pPr>
        <w:spacing w:after="0" w:line="240" w:lineRule="auto"/>
      </w:pPr>
      <w:r w:rsidRPr="005E33A5">
        <w:t>Pouzdro odolné proti mechanickému poškození (kov).</w:t>
      </w:r>
      <w:r>
        <w:t xml:space="preserve"> </w:t>
      </w:r>
      <w:bookmarkStart w:id="0" w:name="_GoBack"/>
      <w:bookmarkEnd w:id="0"/>
      <w:r>
        <w:br/>
      </w:r>
    </w:p>
    <w:p w:rsidR="006858D1" w:rsidRPr="008818C6" w:rsidRDefault="006858D1" w:rsidP="008818C6">
      <w:pPr>
        <w:numPr>
          <w:ilvl w:val="0"/>
          <w:numId w:val="2"/>
        </w:numPr>
        <w:tabs>
          <w:tab w:val="clear" w:pos="720"/>
        </w:tabs>
        <w:spacing w:before="100" w:beforeAutospacing="1" w:after="120" w:line="240" w:lineRule="auto"/>
        <w:ind w:hanging="436"/>
        <w:rPr>
          <w:caps/>
        </w:rPr>
      </w:pPr>
      <w:r w:rsidRPr="008818C6">
        <w:rPr>
          <w:caps/>
        </w:rPr>
        <w:t xml:space="preserve">VLASTNOSTI </w:t>
      </w:r>
    </w:p>
    <w:tbl>
      <w:tblPr>
        <w:tblW w:w="0" w:type="auto"/>
        <w:tblCellSpacing w:w="15" w:type="dxa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3606"/>
      </w:tblGrid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Oblast použití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Outdoor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Rozlišovací schopnost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High Resolution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Světelný zdroj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Infračervené (905 nm)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Třída laseru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1 (IEC 60825-1:2014, EN 60825-1:2014)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lastRenderedPageBreak/>
              <w:t>Úhel zorného pole</w:t>
            </w:r>
          </w:p>
        </w:tc>
        <w:tc>
          <w:tcPr>
            <w:tcW w:w="0" w:type="auto"/>
            <w:vAlign w:val="center"/>
            <w:hideMark/>
          </w:tcPr>
          <w:p w:rsidR="006858D1" w:rsidRDefault="002A7BD9" w:rsidP="002A7BD9">
            <w:r>
              <w:t>Min. 180</w:t>
            </w:r>
            <w:r w:rsidR="006858D1">
              <w:t>°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Frekvence snímání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 xml:space="preserve"> 100 Hz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Úhlové rozlišení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pPr>
              <w:pStyle w:val="Normlnweb"/>
            </w:pPr>
            <w:r>
              <w:t>0,17°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Pracovní oblast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0 m ... 80 m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Snímací dosah při odrazivosti 10 %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26 m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Velikost bodu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4,7 mrad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Počet vyhodnocených odrazů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5</w:t>
            </w:r>
          </w:p>
        </w:tc>
      </w:tr>
    </w:tbl>
    <w:p w:rsidR="006858D1" w:rsidRPr="008818C6" w:rsidRDefault="006858D1" w:rsidP="008818C6">
      <w:pPr>
        <w:pStyle w:val="Odstavecseseznamem"/>
        <w:numPr>
          <w:ilvl w:val="0"/>
          <w:numId w:val="8"/>
        </w:numPr>
        <w:spacing w:before="100" w:beforeAutospacing="1" w:after="120" w:line="240" w:lineRule="auto"/>
        <w:ind w:left="709" w:hanging="425"/>
        <w:rPr>
          <w:caps/>
        </w:rPr>
      </w:pPr>
      <w:r w:rsidRPr="008818C6">
        <w:rPr>
          <w:caps/>
        </w:rPr>
        <w:t>VÝKON</w:t>
      </w:r>
    </w:p>
    <w:tbl>
      <w:tblPr>
        <w:tblW w:w="0" w:type="auto"/>
        <w:tblCellSpacing w:w="15" w:type="dxa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3"/>
        <w:gridCol w:w="2647"/>
      </w:tblGrid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pPr>
              <w:spacing w:after="0"/>
            </w:pPr>
            <w:r>
              <w:t>Doba odezvy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≥ 10 ms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Detekovatelný tvar objektu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Téměř libovolný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Systematická chyba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pPr>
              <w:pStyle w:val="Normlnweb"/>
            </w:pPr>
            <w:r>
              <w:t>± 25 mm (1 m ... 10 m)</w:t>
            </w:r>
          </w:p>
          <w:p w:rsidR="006858D1" w:rsidRDefault="006858D1">
            <w:pPr>
              <w:pStyle w:val="Normlnweb"/>
            </w:pPr>
            <w:r>
              <w:t xml:space="preserve">± 35 mm (10 m ... 20 m) </w:t>
            </w:r>
            <w:r>
              <w:rPr>
                <w:vertAlign w:val="superscript"/>
              </w:rPr>
              <w:t>1)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Statistická chyba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pPr>
              <w:pStyle w:val="Normlnweb"/>
            </w:pPr>
            <w:r>
              <w:t>7 mm (1 m ... 10 m)</w:t>
            </w:r>
          </w:p>
          <w:p w:rsidR="006858D1" w:rsidRDefault="006858D1">
            <w:pPr>
              <w:pStyle w:val="Normlnweb"/>
            </w:pPr>
            <w:r>
              <w:t xml:space="preserve">9 mm (10 m ... 20 m) </w:t>
            </w:r>
            <w:r>
              <w:rPr>
                <w:vertAlign w:val="superscript"/>
              </w:rPr>
              <w:t>1)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Integrovaná aplikace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Vyhodnocení pole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Počet sad polí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10 Pole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Simultánní vyhodnocovací případy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10</w:t>
            </w:r>
          </w:p>
        </w:tc>
      </w:tr>
    </w:tbl>
    <w:p w:rsidR="008818C6" w:rsidRDefault="006858D1" w:rsidP="006858D1">
      <w:pPr>
        <w:numPr>
          <w:ilvl w:val="2"/>
          <w:numId w:val="7"/>
        </w:numPr>
        <w:spacing w:before="100" w:beforeAutospacing="1" w:after="100" w:afterAutospacing="1" w:line="240" w:lineRule="auto"/>
      </w:pPr>
      <w:r>
        <w:rPr>
          <w:vertAlign w:val="superscript"/>
        </w:rPr>
        <w:t>1)</w:t>
      </w:r>
      <w:r>
        <w:t xml:space="preserve"> Typická hodnota, reálná hodnota v závislosti na okolních podmínkách.</w:t>
      </w:r>
    </w:p>
    <w:p w:rsidR="008818C6" w:rsidRDefault="008818C6">
      <w:r>
        <w:br w:type="page"/>
      </w:r>
    </w:p>
    <w:p w:rsidR="006858D1" w:rsidRPr="008818C6" w:rsidRDefault="006858D1" w:rsidP="008818C6">
      <w:pPr>
        <w:pStyle w:val="Odstavecseseznamem"/>
        <w:numPr>
          <w:ilvl w:val="0"/>
          <w:numId w:val="7"/>
        </w:numPr>
        <w:spacing w:before="100" w:beforeAutospacing="1" w:after="120" w:line="240" w:lineRule="auto"/>
        <w:rPr>
          <w:caps/>
        </w:rPr>
      </w:pPr>
      <w:r w:rsidRPr="008818C6">
        <w:rPr>
          <w:caps/>
        </w:rPr>
        <w:lastRenderedPageBreak/>
        <w:t>ROZHRANÍ</w:t>
      </w:r>
    </w:p>
    <w:tbl>
      <w:tblPr>
        <w:tblW w:w="0" w:type="auto"/>
        <w:tblCellSpacing w:w="15" w:type="dxa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4"/>
      </w:tblGrid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61"/>
              <w:gridCol w:w="3333"/>
            </w:tblGrid>
            <w:tr w:rsidR="006858D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100" w:afterAutospacing="1"/>
                  </w:pPr>
                  <w:r>
                    <w:t>Ethernet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100" w:afterAutospacing="1"/>
                  </w:pPr>
                  <w:r>
                    <w:rPr>
                      <w:rFonts w:ascii="Segoe UI Symbol" w:hAnsi="Segoe UI Symbol" w:cs="Segoe UI Symbol"/>
                    </w:rPr>
                    <w:t>✔</w:t>
                  </w:r>
                  <w:r>
                    <w:t xml:space="preserve"> , TCP/IP</w:t>
                  </w:r>
                  <w:r w:rsidR="00E95EC7">
                    <w:rPr>
                      <w:rFonts w:ascii="Arial" w:hAnsi="Arial" w:cs="Arial"/>
                      <w:sz w:val="20"/>
                      <w:szCs w:val="20"/>
                    </w:rPr>
                    <w:t xml:space="preserve"> , min. 5 binárních výstupů</w:t>
                  </w:r>
                </w:p>
              </w:tc>
            </w:tr>
            <w:tr w:rsidR="006858D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100" w:afterAutospacing="1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100" w:afterAutospacing="1"/>
                  </w:pPr>
                  <w:r>
                    <w:t>OPC</w:t>
                  </w:r>
                </w:p>
              </w:tc>
            </w:tr>
            <w:tr w:rsidR="006858D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100" w:afterAutospacing="1"/>
                  </w:pPr>
                  <w:r>
                    <w:t>Funkce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100" w:afterAutospacing="1"/>
                  </w:pPr>
                  <w:r>
                    <w:t>Host</w:t>
                  </w:r>
                </w:p>
              </w:tc>
            </w:tr>
            <w:tr w:rsidR="006858D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100" w:afterAutospacing="1"/>
                  </w:pPr>
                  <w:r>
                    <w:t>Datová přenosová rychlost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100" w:afterAutospacing="1"/>
                  </w:pPr>
                  <w:r>
                    <w:t>10/100 Mbit/s</w:t>
                  </w:r>
                </w:p>
              </w:tc>
            </w:tr>
          </w:tbl>
          <w:p w:rsidR="006858D1" w:rsidRDefault="006858D1"/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61"/>
              <w:gridCol w:w="2166"/>
            </w:tblGrid>
            <w:tr w:rsidR="006858D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Sériový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0"/>
                  </w:pPr>
                  <w:r>
                    <w:rPr>
                      <w:rFonts w:ascii="Segoe UI Symbol" w:hAnsi="Segoe UI Symbol" w:cs="Segoe UI Symbol"/>
                    </w:rPr>
                    <w:t>✔</w:t>
                  </w:r>
                  <w:r>
                    <w:t xml:space="preserve"> , RS-232, RS-422</w:t>
                  </w:r>
                </w:p>
              </w:tc>
            </w:tr>
            <w:tr w:rsidR="006858D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0"/>
                  </w:pPr>
                  <w:r>
                    <w:t>Funkce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0"/>
                  </w:pPr>
                  <w:r>
                    <w:t>Host</w:t>
                  </w:r>
                </w:p>
              </w:tc>
            </w:tr>
            <w:tr w:rsidR="006858D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0"/>
                  </w:pPr>
                  <w:r>
                    <w:t>Datová přenosová rychlost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0"/>
                  </w:pPr>
                  <w:r>
                    <w:t>9,6 kBaud ... 500 kBaud</w:t>
                  </w:r>
                </w:p>
              </w:tc>
            </w:tr>
          </w:tbl>
          <w:p w:rsidR="006858D1" w:rsidRDefault="006858D1"/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0"/>
              <w:gridCol w:w="1642"/>
            </w:tblGrid>
            <w:tr w:rsidR="006858D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CAN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0"/>
                  </w:pPr>
                  <w:r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</w:tr>
            <w:tr w:rsidR="006858D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0"/>
                  </w:pPr>
                  <w:r>
                    <w:t>Funkce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58D1" w:rsidRDefault="006858D1" w:rsidP="00E95EC7">
                  <w:pPr>
                    <w:spacing w:after="0"/>
                  </w:pPr>
                  <w:r>
                    <w:t>Rozšíření výstupů</w:t>
                  </w:r>
                </w:p>
              </w:tc>
            </w:tr>
          </w:tbl>
          <w:p w:rsidR="006858D1" w:rsidRDefault="006858D1" w:rsidP="00E95EC7">
            <w:pPr>
              <w:spacing w:after="0"/>
            </w:pPr>
          </w:p>
        </w:tc>
      </w:tr>
    </w:tbl>
    <w:p w:rsidR="006858D1" w:rsidRPr="008818C6" w:rsidRDefault="006858D1" w:rsidP="008818C6">
      <w:pPr>
        <w:pStyle w:val="Odstavecseseznamem"/>
        <w:numPr>
          <w:ilvl w:val="0"/>
          <w:numId w:val="9"/>
        </w:numPr>
        <w:spacing w:before="100" w:beforeAutospacing="1" w:after="120" w:line="240" w:lineRule="auto"/>
        <w:rPr>
          <w:caps/>
        </w:rPr>
      </w:pPr>
      <w:r w:rsidRPr="008818C6">
        <w:rPr>
          <w:caps/>
        </w:rPr>
        <w:t>Mechanika/elektrika</w:t>
      </w:r>
    </w:p>
    <w:tbl>
      <w:tblPr>
        <w:tblW w:w="0" w:type="auto"/>
        <w:tblCellSpacing w:w="15" w:type="dxa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9"/>
        <w:gridCol w:w="3477"/>
      </w:tblGrid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Provozní napětí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24 V DC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Příkon</w:t>
            </w:r>
          </w:p>
        </w:tc>
        <w:tc>
          <w:tcPr>
            <w:tcW w:w="0" w:type="auto"/>
            <w:vAlign w:val="center"/>
            <w:hideMark/>
          </w:tcPr>
          <w:p w:rsidR="006858D1" w:rsidRDefault="00E95EC7" w:rsidP="00E95EC7">
            <w:r>
              <w:t xml:space="preserve"> Max </w:t>
            </w:r>
            <w:r w:rsidR="006858D1">
              <w:t>2</w:t>
            </w:r>
            <w:r>
              <w:t>5</w:t>
            </w:r>
            <w:r w:rsidR="006858D1">
              <w:t xml:space="preserve"> W</w:t>
            </w:r>
            <w: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(bez vytápění)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Krytí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IP67 (IEC 60529 Edition 2.2:2013-08)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Třída ochrany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III (Norma EN 60529, odstavec 14.2.7)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Rozměry (D x V x H)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160 mm x 155 mm x 185 mm</w:t>
            </w:r>
          </w:p>
        </w:tc>
      </w:tr>
    </w:tbl>
    <w:p w:rsidR="006858D1" w:rsidRPr="008818C6" w:rsidRDefault="006858D1" w:rsidP="008818C6">
      <w:pPr>
        <w:pStyle w:val="Odstavecseseznamem"/>
        <w:numPr>
          <w:ilvl w:val="0"/>
          <w:numId w:val="9"/>
        </w:numPr>
        <w:spacing w:before="100" w:beforeAutospacing="1" w:after="120" w:line="240" w:lineRule="auto"/>
        <w:rPr>
          <w:caps/>
        </w:rPr>
      </w:pPr>
      <w:r w:rsidRPr="008818C6">
        <w:rPr>
          <w:caps/>
        </w:rPr>
        <w:t>Údaje o prostředí</w:t>
      </w:r>
    </w:p>
    <w:tbl>
      <w:tblPr>
        <w:tblW w:w="0" w:type="auto"/>
        <w:tblCellSpacing w:w="15" w:type="dxa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7"/>
        <w:gridCol w:w="4223"/>
      </w:tblGrid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pPr>
              <w:spacing w:after="0"/>
            </w:pPr>
            <w:r>
              <w:t>Odrazivost objektu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2 % ... &gt; 1.000 % (odrazky)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Elektromagnetická kompatibilita (EMC)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IEC 61000-6-2:2016-08 / IEC 61000-6-3:2006-07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Odolnost proti vibracím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IEC 60068-2-6:2007-12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Mez únavy v rázu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IEC 60068-2-27:2008-02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Provozní okolní teplota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–30 °C ... +50 °C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T skladovací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–30 °C ... +70 °C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Odolnost vůči okolnímu světlu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70.000 lx</w:t>
            </w:r>
          </w:p>
        </w:tc>
      </w:tr>
    </w:tbl>
    <w:p w:rsidR="00E95EC7" w:rsidRDefault="00E95EC7" w:rsidP="00E95EC7">
      <w:pPr>
        <w:pStyle w:val="Odstavecseseznamem"/>
        <w:spacing w:before="100" w:beforeAutospacing="1" w:after="120" w:line="240" w:lineRule="auto"/>
        <w:rPr>
          <w:caps/>
        </w:rPr>
      </w:pPr>
    </w:p>
    <w:p w:rsidR="00E95EC7" w:rsidRDefault="00E95EC7">
      <w:pPr>
        <w:rPr>
          <w:caps/>
        </w:rPr>
      </w:pPr>
      <w:r>
        <w:rPr>
          <w:caps/>
        </w:rPr>
        <w:br w:type="page"/>
      </w:r>
    </w:p>
    <w:p w:rsidR="006858D1" w:rsidRPr="008818C6" w:rsidRDefault="006858D1" w:rsidP="008818C6">
      <w:pPr>
        <w:pStyle w:val="Odstavecseseznamem"/>
        <w:numPr>
          <w:ilvl w:val="0"/>
          <w:numId w:val="9"/>
        </w:numPr>
        <w:spacing w:before="100" w:beforeAutospacing="1" w:after="120" w:line="240" w:lineRule="auto"/>
        <w:rPr>
          <w:caps/>
        </w:rPr>
      </w:pPr>
      <w:r w:rsidRPr="008818C6">
        <w:rPr>
          <w:caps/>
        </w:rPr>
        <w:lastRenderedPageBreak/>
        <w:t>Klasifikace</w:t>
      </w:r>
    </w:p>
    <w:tbl>
      <w:tblPr>
        <w:tblW w:w="0" w:type="auto"/>
        <w:tblCellSpacing w:w="15" w:type="dxa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6"/>
        <w:gridCol w:w="989"/>
      </w:tblGrid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pPr>
              <w:spacing w:after="0"/>
            </w:pPr>
            <w:r>
              <w:t>ECl@ss 5.0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27270990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ECl@ss 5.1.4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27270990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ECl@ss 6.0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27270913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ECl@ss 6.2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27270913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ECl@ss 7.0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27270913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ECl@ss 8.0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27270913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ECl@ss 8.1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27270913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ECl@ss 9.0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27270913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ETIM 5.0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EC002550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ETIM 6.0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EC002550</w:t>
            </w:r>
          </w:p>
        </w:tc>
      </w:tr>
      <w:tr w:rsidR="006858D1" w:rsidTr="006771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58D1" w:rsidRDefault="006858D1">
            <w:r>
              <w:t>UNSPSC 16.0901</w:t>
            </w:r>
          </w:p>
        </w:tc>
        <w:tc>
          <w:tcPr>
            <w:tcW w:w="0" w:type="auto"/>
            <w:vAlign w:val="center"/>
            <w:hideMark/>
          </w:tcPr>
          <w:p w:rsidR="006858D1" w:rsidRDefault="006858D1">
            <w:r>
              <w:t>46171620</w:t>
            </w:r>
          </w:p>
        </w:tc>
      </w:tr>
    </w:tbl>
    <w:p w:rsidR="006858D1" w:rsidRDefault="006858D1"/>
    <w:sectPr w:rsidR="006858D1" w:rsidSect="00D14707"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3AE" w:rsidRDefault="008F33AE" w:rsidP="00143345">
      <w:pPr>
        <w:spacing w:after="0" w:line="240" w:lineRule="auto"/>
      </w:pPr>
      <w:r>
        <w:separator/>
      </w:r>
    </w:p>
  </w:endnote>
  <w:endnote w:type="continuationSeparator" w:id="0">
    <w:p w:rsidR="008F33AE" w:rsidRDefault="008F33AE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804742"/>
      <w:docPartObj>
        <w:docPartGallery w:val="Page Numbers (Bottom of Page)"/>
        <w:docPartUnique/>
      </w:docPartObj>
    </w:sdtPr>
    <w:sdtEndPr/>
    <w:sdtContent>
      <w:p w:rsidR="00432358" w:rsidRDefault="0043235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3A5">
          <w:rPr>
            <w:noProof/>
          </w:rPr>
          <w:t>4</w:t>
        </w:r>
        <w:r>
          <w:fldChar w:fldCharType="end"/>
        </w:r>
      </w:p>
    </w:sdtContent>
  </w:sdt>
  <w:p w:rsidR="00432358" w:rsidRDefault="004323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3AE" w:rsidRDefault="008F33AE" w:rsidP="00143345">
      <w:pPr>
        <w:spacing w:after="0" w:line="240" w:lineRule="auto"/>
      </w:pPr>
      <w:r>
        <w:separator/>
      </w:r>
    </w:p>
  </w:footnote>
  <w:footnote w:type="continuationSeparator" w:id="0">
    <w:p w:rsidR="008F33AE" w:rsidRDefault="008F33AE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Pr="007759D1" w:rsidRDefault="00432358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Pr="0091160F">
      <w:rPr>
        <w:rFonts w:cs="Arial"/>
        <w:b/>
        <w:color w:val="0A3782"/>
        <w:sz w:val="34"/>
        <w:szCs w:val="34"/>
      </w:rPr>
      <w:t xml:space="preserve"> DÍLU</w:t>
    </w:r>
    <w:r w:rsidRPr="007759D1">
      <w:rPr>
        <w:rFonts w:cs="Arial"/>
        <w:b/>
        <w:color w:val="0A3782"/>
        <w:sz w:val="34"/>
        <w:szCs w:val="34"/>
      </w:rPr>
      <w:t xml:space="preserve"> </w:t>
    </w:r>
  </w:p>
  <w:p w:rsidR="00432358" w:rsidRPr="001660BC" w:rsidRDefault="00432358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8240" behindDoc="1" locked="1" layoutInCell="1" allowOverlap="1" wp14:anchorId="7D330348" wp14:editId="2911CFA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5" name="Obrázek 5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32358" w:rsidRDefault="004323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33B4"/>
    <w:multiLevelType w:val="multilevel"/>
    <w:tmpl w:val="97C6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A5597A"/>
    <w:multiLevelType w:val="multilevel"/>
    <w:tmpl w:val="BC0E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C55BB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3A0160"/>
    <w:multiLevelType w:val="multilevel"/>
    <w:tmpl w:val="FB3A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395F04"/>
    <w:multiLevelType w:val="multilevel"/>
    <w:tmpl w:val="B31E3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BA4161"/>
    <w:multiLevelType w:val="hybridMultilevel"/>
    <w:tmpl w:val="CF3CCC4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2671796"/>
    <w:multiLevelType w:val="multilevel"/>
    <w:tmpl w:val="36A24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384F61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01A63"/>
    <w:rsid w:val="00037036"/>
    <w:rsid w:val="00055FB7"/>
    <w:rsid w:val="00096085"/>
    <w:rsid w:val="000F14A7"/>
    <w:rsid w:val="001159E1"/>
    <w:rsid w:val="00122063"/>
    <w:rsid w:val="001364FD"/>
    <w:rsid w:val="00143345"/>
    <w:rsid w:val="0015033B"/>
    <w:rsid w:val="00173012"/>
    <w:rsid w:val="001D1B78"/>
    <w:rsid w:val="00200356"/>
    <w:rsid w:val="00257A05"/>
    <w:rsid w:val="00264350"/>
    <w:rsid w:val="00270D8C"/>
    <w:rsid w:val="00295A27"/>
    <w:rsid w:val="002A7BD9"/>
    <w:rsid w:val="002F7DCD"/>
    <w:rsid w:val="00332161"/>
    <w:rsid w:val="003A3F9D"/>
    <w:rsid w:val="003B1254"/>
    <w:rsid w:val="003B496B"/>
    <w:rsid w:val="003B4F4A"/>
    <w:rsid w:val="004021A7"/>
    <w:rsid w:val="00432358"/>
    <w:rsid w:val="00450A74"/>
    <w:rsid w:val="00471362"/>
    <w:rsid w:val="004B1296"/>
    <w:rsid w:val="004F079B"/>
    <w:rsid w:val="00524639"/>
    <w:rsid w:val="00527E2E"/>
    <w:rsid w:val="00585921"/>
    <w:rsid w:val="005A7F80"/>
    <w:rsid w:val="005E33A5"/>
    <w:rsid w:val="005F58C5"/>
    <w:rsid w:val="005F73A0"/>
    <w:rsid w:val="00621D8A"/>
    <w:rsid w:val="006351E0"/>
    <w:rsid w:val="00641C0E"/>
    <w:rsid w:val="006466F0"/>
    <w:rsid w:val="006551FF"/>
    <w:rsid w:val="006771D1"/>
    <w:rsid w:val="006858D1"/>
    <w:rsid w:val="006914CA"/>
    <w:rsid w:val="007069F2"/>
    <w:rsid w:val="00721BDB"/>
    <w:rsid w:val="00750B97"/>
    <w:rsid w:val="00760EB7"/>
    <w:rsid w:val="00767DD5"/>
    <w:rsid w:val="007759D1"/>
    <w:rsid w:val="007D066A"/>
    <w:rsid w:val="007D7FE0"/>
    <w:rsid w:val="007F2DDA"/>
    <w:rsid w:val="00835236"/>
    <w:rsid w:val="00870916"/>
    <w:rsid w:val="0087381B"/>
    <w:rsid w:val="008818C6"/>
    <w:rsid w:val="008F33AE"/>
    <w:rsid w:val="0091160F"/>
    <w:rsid w:val="00995C58"/>
    <w:rsid w:val="009A08DE"/>
    <w:rsid w:val="00A728D8"/>
    <w:rsid w:val="00AB57DA"/>
    <w:rsid w:val="00AE2D8B"/>
    <w:rsid w:val="00AF4E4F"/>
    <w:rsid w:val="00B25E6C"/>
    <w:rsid w:val="00B90E42"/>
    <w:rsid w:val="00BC0F5F"/>
    <w:rsid w:val="00BF1B2E"/>
    <w:rsid w:val="00C73B67"/>
    <w:rsid w:val="00C96864"/>
    <w:rsid w:val="00CA1242"/>
    <w:rsid w:val="00CC160B"/>
    <w:rsid w:val="00D14707"/>
    <w:rsid w:val="00D660A9"/>
    <w:rsid w:val="00D90D1A"/>
    <w:rsid w:val="00DA77A3"/>
    <w:rsid w:val="00DC55DB"/>
    <w:rsid w:val="00DE3FFF"/>
    <w:rsid w:val="00E34AEB"/>
    <w:rsid w:val="00E35AB9"/>
    <w:rsid w:val="00E500A9"/>
    <w:rsid w:val="00E529AE"/>
    <w:rsid w:val="00E95EC7"/>
    <w:rsid w:val="00EC7302"/>
    <w:rsid w:val="00ED79F7"/>
    <w:rsid w:val="00F478C4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C1A7BE8-1D19-40BB-A54C-A22C9BA8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858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14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8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semiHidden/>
    <w:unhideWhenUsed/>
    <w:rsid w:val="006858D1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6858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6858D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6858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6858D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jsaccordionnav">
    <w:name w:val="js_accordion_nav"/>
    <w:basedOn w:val="Standardnpsmoodstavce"/>
    <w:rsid w:val="00685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76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9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89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519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1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1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208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38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302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701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87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98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6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78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9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39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93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79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4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04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63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7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34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9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94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2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66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5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70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1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468F9-FC47-4DAC-AF0A-A2A938EAB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Stříteský Roman</cp:lastModifiedBy>
  <cp:revision>4</cp:revision>
  <dcterms:created xsi:type="dcterms:W3CDTF">2018-01-08T07:52:00Z</dcterms:created>
  <dcterms:modified xsi:type="dcterms:W3CDTF">2018-01-08T08:50:00Z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364722797</vt:i4>
  </property>
</Properties>
</file>